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6B34D2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F108D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b/>
          <w:sz w:val="28"/>
          <w:szCs w:val="28"/>
        </w:rPr>
        <w:t>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F108D">
        <w:rPr>
          <w:rFonts w:ascii="Times New Roman" w:hAnsi="Times New Roman" w:cs="Times New Roman"/>
          <w:sz w:val="28"/>
          <w:szCs w:val="28"/>
        </w:rPr>
        <w:t>10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sz w:val="28"/>
          <w:szCs w:val="28"/>
        </w:rPr>
        <w:t>месяцев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B33D35">
        <w:rPr>
          <w:rFonts w:ascii="Times New Roman" w:hAnsi="Times New Roman" w:cs="Times New Roman"/>
          <w:sz w:val="28"/>
          <w:szCs w:val="28"/>
        </w:rPr>
        <w:t>324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B33D35">
        <w:rPr>
          <w:rFonts w:ascii="Times New Roman" w:hAnsi="Times New Roman" w:cs="Times New Roman"/>
          <w:sz w:val="28"/>
          <w:szCs w:val="28"/>
        </w:rPr>
        <w:t>и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A37AE5">
        <w:rPr>
          <w:rFonts w:ascii="Times New Roman" w:hAnsi="Times New Roman" w:cs="Times New Roman"/>
          <w:sz w:val="28"/>
          <w:szCs w:val="28"/>
        </w:rPr>
        <w:t>29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A37AE5">
        <w:rPr>
          <w:rFonts w:ascii="Times New Roman" w:hAnsi="Times New Roman" w:cs="Times New Roman"/>
          <w:sz w:val="28"/>
          <w:szCs w:val="28"/>
        </w:rPr>
        <w:t>23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A37AE5">
        <w:rPr>
          <w:rFonts w:ascii="Times New Roman" w:hAnsi="Times New Roman" w:cs="Times New Roman"/>
          <w:sz w:val="28"/>
          <w:szCs w:val="28"/>
        </w:rPr>
        <w:t>ки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A37AE5">
        <w:rPr>
          <w:rFonts w:ascii="Times New Roman" w:hAnsi="Times New Roman" w:cs="Times New Roman"/>
          <w:sz w:val="28"/>
          <w:szCs w:val="28"/>
        </w:rPr>
        <w:t>301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A37AE5">
        <w:rPr>
          <w:rFonts w:ascii="Times New Roman" w:hAnsi="Times New Roman" w:cs="Times New Roman"/>
          <w:sz w:val="28"/>
          <w:szCs w:val="28"/>
        </w:rPr>
        <w:t>ка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A37AE5">
        <w:rPr>
          <w:rFonts w:ascii="Times New Roman" w:hAnsi="Times New Roman" w:cs="Times New Roman"/>
          <w:sz w:val="28"/>
          <w:szCs w:val="28"/>
        </w:rPr>
        <w:t>72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639EB">
        <w:rPr>
          <w:rFonts w:ascii="Times New Roman" w:hAnsi="Times New Roman" w:cs="Times New Roman"/>
          <w:sz w:val="28"/>
          <w:szCs w:val="28"/>
        </w:rPr>
        <w:t>1</w:t>
      </w:r>
      <w:r w:rsidR="00A37AE5">
        <w:rPr>
          <w:rFonts w:ascii="Times New Roman" w:hAnsi="Times New Roman" w:cs="Times New Roman"/>
          <w:sz w:val="28"/>
          <w:szCs w:val="28"/>
        </w:rPr>
        <w:t>69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E639EB">
        <w:rPr>
          <w:rFonts w:ascii="Times New Roman" w:hAnsi="Times New Roman" w:cs="Times New Roman"/>
          <w:sz w:val="28"/>
          <w:szCs w:val="28"/>
        </w:rPr>
        <w:t>1</w:t>
      </w:r>
      <w:r w:rsidR="00A37AE5">
        <w:rPr>
          <w:rFonts w:ascii="Times New Roman" w:hAnsi="Times New Roman" w:cs="Times New Roman"/>
          <w:sz w:val="28"/>
          <w:szCs w:val="28"/>
        </w:rPr>
        <w:t>19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A37AE5">
        <w:rPr>
          <w:rFonts w:ascii="Times New Roman" w:hAnsi="Times New Roman" w:cs="Times New Roman"/>
          <w:sz w:val="28"/>
          <w:szCs w:val="28"/>
        </w:rPr>
        <w:t>78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CE3C9B">
        <w:rPr>
          <w:rFonts w:ascii="Times New Roman" w:hAnsi="Times New Roman" w:cs="Times New Roman"/>
          <w:sz w:val="28"/>
          <w:szCs w:val="28"/>
        </w:rPr>
        <w:t>1</w:t>
      </w:r>
      <w:r w:rsidR="00A37AE5">
        <w:rPr>
          <w:rFonts w:ascii="Times New Roman" w:hAnsi="Times New Roman" w:cs="Times New Roman"/>
          <w:sz w:val="28"/>
          <w:szCs w:val="28"/>
        </w:rPr>
        <w:t>68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742818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A37AE5">
        <w:rPr>
          <w:rFonts w:ascii="Times New Roman" w:hAnsi="Times New Roman" w:cs="Times New Roman"/>
          <w:sz w:val="28"/>
          <w:szCs w:val="28"/>
        </w:rPr>
        <w:t>3,5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E639EB">
        <w:rPr>
          <w:rFonts w:ascii="Times New Roman" w:hAnsi="Times New Roman" w:cs="Times New Roman"/>
          <w:sz w:val="28"/>
          <w:szCs w:val="28"/>
        </w:rPr>
        <w:t>2</w:t>
      </w:r>
      <w:r w:rsidR="00A37AE5">
        <w:rPr>
          <w:rFonts w:ascii="Times New Roman" w:hAnsi="Times New Roman" w:cs="Times New Roman"/>
          <w:sz w:val="28"/>
          <w:szCs w:val="28"/>
        </w:rPr>
        <w:t>3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E639EB">
        <w:rPr>
          <w:rFonts w:ascii="Times New Roman" w:hAnsi="Times New Roman" w:cs="Times New Roman"/>
          <w:sz w:val="28"/>
          <w:szCs w:val="28"/>
        </w:rPr>
        <w:t>а</w:t>
      </w:r>
      <w:r w:rsidR="005961F9">
        <w:rPr>
          <w:rFonts w:ascii="Times New Roman" w:hAnsi="Times New Roman" w:cs="Times New Roman"/>
          <w:sz w:val="28"/>
          <w:szCs w:val="28"/>
        </w:rPr>
        <w:t xml:space="preserve">, по </w:t>
      </w:r>
      <w:r w:rsidR="00A37AE5">
        <w:rPr>
          <w:rFonts w:ascii="Times New Roman" w:hAnsi="Times New Roman" w:cs="Times New Roman"/>
          <w:sz w:val="28"/>
          <w:szCs w:val="28"/>
        </w:rPr>
        <w:t>20</w:t>
      </w:r>
      <w:r w:rsidR="00E639E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A37AE5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106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AE5">
        <w:rPr>
          <w:rFonts w:ascii="Times New Roman" w:hAnsi="Times New Roman" w:cs="Times New Roman"/>
          <w:sz w:val="28"/>
          <w:szCs w:val="28"/>
        </w:rPr>
        <w:t>5510</w:t>
      </w:r>
      <w:r w:rsidR="00E639EB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57B9">
        <w:rPr>
          <w:rFonts w:ascii="Times New Roman" w:hAnsi="Times New Roman" w:cs="Times New Roman"/>
          <w:sz w:val="28"/>
          <w:szCs w:val="28"/>
        </w:rPr>
        <w:t>1050</w:t>
      </w:r>
      <w:r w:rsidR="00C2029F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E639EB">
        <w:rPr>
          <w:rFonts w:ascii="Times New Roman" w:hAnsi="Times New Roman" w:cs="Times New Roman"/>
          <w:sz w:val="28"/>
          <w:szCs w:val="28"/>
        </w:rPr>
        <w:t>1</w:t>
      </w:r>
      <w:r w:rsidR="009457B9">
        <w:rPr>
          <w:rFonts w:ascii="Times New Roman" w:hAnsi="Times New Roman" w:cs="Times New Roman"/>
          <w:sz w:val="28"/>
          <w:szCs w:val="28"/>
        </w:rPr>
        <w:t>1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715397">
        <w:rPr>
          <w:rFonts w:ascii="Times New Roman" w:hAnsi="Times New Roman" w:cs="Times New Roman"/>
          <w:sz w:val="28"/>
          <w:szCs w:val="28"/>
        </w:rPr>
        <w:t>1</w:t>
      </w:r>
      <w:r w:rsidR="009457B9">
        <w:rPr>
          <w:rFonts w:ascii="Times New Roman" w:hAnsi="Times New Roman" w:cs="Times New Roman"/>
          <w:sz w:val="28"/>
          <w:szCs w:val="28"/>
        </w:rPr>
        <w:t>6</w:t>
      </w:r>
      <w:r w:rsidR="00E639EB">
        <w:rPr>
          <w:rFonts w:ascii="Times New Roman" w:hAnsi="Times New Roman" w:cs="Times New Roman"/>
          <w:sz w:val="28"/>
          <w:szCs w:val="28"/>
        </w:rPr>
        <w:t>7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C2029F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CE3C9B">
        <w:rPr>
          <w:rFonts w:ascii="Times New Roman" w:hAnsi="Times New Roman" w:cs="Times New Roman"/>
          <w:sz w:val="28"/>
          <w:szCs w:val="28"/>
        </w:rPr>
        <w:t>1,</w:t>
      </w:r>
      <w:r w:rsidR="009457B9">
        <w:rPr>
          <w:rFonts w:ascii="Times New Roman" w:hAnsi="Times New Roman" w:cs="Times New Roman"/>
          <w:sz w:val="28"/>
          <w:szCs w:val="28"/>
        </w:rPr>
        <w:t>8</w:t>
      </w:r>
      <w:r w:rsidR="00E639EB">
        <w:rPr>
          <w:rFonts w:ascii="Times New Roman" w:hAnsi="Times New Roman" w:cs="Times New Roman"/>
          <w:sz w:val="28"/>
          <w:szCs w:val="28"/>
        </w:rPr>
        <w:t xml:space="preserve"> </w:t>
      </w:r>
      <w:r w:rsidR="00C2029F">
        <w:rPr>
          <w:rFonts w:ascii="Times New Roman" w:hAnsi="Times New Roman" w:cs="Times New Roman"/>
          <w:sz w:val="28"/>
          <w:szCs w:val="28"/>
        </w:rPr>
        <w:t xml:space="preserve"> раза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FA4BCF" w:rsidRPr="00FA4BCF" w:rsidRDefault="00FA4BCF" w:rsidP="00FA4B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BCF">
        <w:rPr>
          <w:rFonts w:ascii="Times New Roman" w:hAnsi="Times New Roman" w:cs="Times New Roman"/>
          <w:sz w:val="28"/>
          <w:szCs w:val="28"/>
        </w:rPr>
        <w:t>За 10 месяцев 2019 года в отдел муниципального жилищного контроля поступило 894 обращений, что на 27% меньше, чем за 10 месяцев 2018 года (1132).</w:t>
      </w:r>
    </w:p>
    <w:p w:rsidR="00FA4BCF" w:rsidRPr="00FA4BCF" w:rsidRDefault="00FA4BCF" w:rsidP="00FA4B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BCF">
        <w:rPr>
          <w:rFonts w:ascii="Times New Roman" w:hAnsi="Times New Roman" w:cs="Times New Roman"/>
          <w:sz w:val="28"/>
          <w:szCs w:val="28"/>
        </w:rPr>
        <w:t xml:space="preserve">В течение 10 месяцев 2019 года специалистами отдела </w:t>
      </w:r>
      <w:r w:rsidRPr="00FA4BCF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FA4BCF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694 внеплановых проверки по вопросу соблюдения обязательных требований действующего жилищного законодательства в отношении муниципального жилищного фонда, что на 4% больше, чем за аналогичный период 2018 года (668).</w:t>
      </w:r>
    </w:p>
    <w:p w:rsidR="00FA4BCF" w:rsidRPr="00FA4BCF" w:rsidRDefault="00FA4BCF" w:rsidP="00FA4B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BCF">
        <w:rPr>
          <w:rFonts w:ascii="Times New Roman" w:hAnsi="Times New Roman" w:cs="Times New Roman"/>
          <w:sz w:val="28"/>
          <w:szCs w:val="28"/>
        </w:rPr>
        <w:t xml:space="preserve">По результатам проведенных  проверок  в рамках принятия мер реагирования по фактам выявленных нарушений физическим и юридическим лицам (управляющим организациям) было выдано 299 предписаний об устранении выявленных нарушений, что на 16% меньше, чем за аналогичный период 2018 года (347). </w:t>
      </w:r>
    </w:p>
    <w:p w:rsidR="00FA4BCF" w:rsidRPr="00FA4BCF" w:rsidRDefault="00FA4BCF" w:rsidP="00FA4B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BCF">
        <w:rPr>
          <w:rFonts w:ascii="Times New Roman" w:hAnsi="Times New Roman" w:cs="Times New Roman"/>
          <w:sz w:val="28"/>
          <w:szCs w:val="28"/>
        </w:rPr>
        <w:t xml:space="preserve">В течение 10 месяцев 2019 года составлено 83 протокола об административных правонарушениях, что на  40% меньше, чем за аналогичный период 2018 года (116). </w:t>
      </w:r>
    </w:p>
    <w:p w:rsidR="0090798F" w:rsidRPr="00FA4BCF" w:rsidRDefault="00FA4BCF" w:rsidP="00FA4BC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4BCF">
        <w:rPr>
          <w:rFonts w:ascii="Times New Roman" w:hAnsi="Times New Roman" w:cs="Times New Roman"/>
          <w:sz w:val="28"/>
          <w:szCs w:val="28"/>
        </w:rPr>
        <w:tab/>
        <w:t>Уменьшение количества выданных предписаний и возбужденных административных дел вызвано улучшением исполнения своих обязанностей управляющими организациями</w:t>
      </w:r>
      <w:r w:rsidR="00520828" w:rsidRPr="00FA4BCF">
        <w:rPr>
          <w:rFonts w:ascii="Times New Roman" w:hAnsi="Times New Roman" w:cs="Times New Roman"/>
          <w:sz w:val="28"/>
          <w:szCs w:val="28"/>
        </w:rPr>
        <w:t>.</w:t>
      </w:r>
    </w:p>
    <w:p w:rsidR="00727712" w:rsidRPr="00727712" w:rsidRDefault="00727712" w:rsidP="0072771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10 месяцев 2019 года.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lastRenderedPageBreak/>
        <w:t>За отчетный период в городе Липецке составлено 4535 протокол об административных правонарушениях, АППГ – 4065. Увеличение поступивших материалов в сравнении с аналогичным периодом прошлого года составило 12 %.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727712">
        <w:rPr>
          <w:rFonts w:ascii="Times New Roman" w:hAnsi="Times New Roman" w:cs="Times New Roman"/>
          <w:sz w:val="28"/>
          <w:szCs w:val="28"/>
        </w:rPr>
        <w:t xml:space="preserve"> рассмотрено – 3704 дела, АППГ – 3638. 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117 дел (АППГ – 150), физических лиц – 3587 дел (АППГ – 3488). По 3012 делам назначены наказания в виде штрафа (АППГ – 2947), по 681 делу – в виде предупреждения (АППГ – 645); по 11 делам производство прекращено (АППГ – 51). 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4 197 250 рублей, АППГ – 3 444 850 рублей. 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441 000 рублей, на физических лиц – 3 756 250 рублей. 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За 10 месяцев 2019 года за правонарушения в сфере благоустройства составлено – 2451 протокол, АППГ – 2669. Сумм</w:t>
      </w:r>
      <w:bookmarkStart w:id="0" w:name="_GoBack"/>
      <w:bookmarkEnd w:id="0"/>
      <w:r w:rsidRPr="00727712">
        <w:rPr>
          <w:rFonts w:ascii="Times New Roman" w:hAnsi="Times New Roman" w:cs="Times New Roman"/>
          <w:sz w:val="28"/>
          <w:szCs w:val="28"/>
        </w:rPr>
        <w:t>а наложенных штрафов по главе 5 КоАП ЛО составила 1 818 000 рублей, АППГ – 2 013 200 рублей. Взыскано – 1 459 144 рубля, что составляет 80% от наложенного по данной статье или 35% от всех поступивших денежных средств, АППГ – 1 832 662 рубля.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За 10 месяцев 2019 года за незаконную торговлю по ст. 6.2 КоАП ЛО составлено – 872 протокола, АППГ – 529.  Сумма наложенных штрафов составила 2 114 150 рублей, АППГ – 1 116 550 рублей. Взыскано – 499 608 рублей, что составляет 24% от наложенного по данной статье или 12% от всех поступивших денежных средств, АППГ – 748 941 рубль.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За 10 месяцев 2019 года судебным приставам-исполнителям было направлено 1423 постановления на сумму 2 661 750 рублей. 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В бюджет города поступило 2 520 053 рубля, АППГ – 3 042 919 рублей. Сумма взысканных штрафов в сравнении с аналогичным периодом прошлого года уменьшилась на 17%.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712">
        <w:rPr>
          <w:rFonts w:ascii="Times New Roman" w:hAnsi="Times New Roman" w:cs="Times New Roman"/>
          <w:sz w:val="28"/>
          <w:szCs w:val="28"/>
        </w:rPr>
        <w:t>В добровольном порядке взыскано 1 586 000  рублей, в принудительном  934 053 рубля.</w:t>
      </w:r>
      <w:proofErr w:type="gramEnd"/>
      <w:r w:rsidRPr="00727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7712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727712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63%, в принудительном – 37%. </w:t>
      </w:r>
      <w:proofErr w:type="gramEnd"/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Ответственными секретарями административных комиссий и их помощниками составлено 1465 протоколов, АППГ – 1035. Количество составленных протоколов увеличилось  на 42 %.  </w:t>
      </w:r>
    </w:p>
    <w:p w:rsidR="00727712" w:rsidRPr="00727712" w:rsidRDefault="00727712" w:rsidP="00727712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712">
        <w:rPr>
          <w:rFonts w:ascii="Times New Roman" w:eastAsia="Calibri" w:hAnsi="Times New Roman" w:cs="Times New Roman"/>
          <w:sz w:val="28"/>
          <w:szCs w:val="28"/>
        </w:rPr>
        <w:t>За неуплату административных штрафов по ранее вынесенным постановлениям в суды Липецкой области по ч.1 ст.20.25 КоАП РФ направлено 797 материалов,</w:t>
      </w:r>
      <w:r w:rsidRPr="00727712">
        <w:rPr>
          <w:rFonts w:ascii="Times New Roman" w:hAnsi="Times New Roman" w:cs="Times New Roman"/>
          <w:sz w:val="28"/>
          <w:szCs w:val="28"/>
        </w:rPr>
        <w:t xml:space="preserve"> АППГ – 385</w:t>
      </w:r>
      <w:r w:rsidRPr="0072771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За 10 месяцев 2019 года общее количество протоколов, составленных сотрудниками (122 чел.) структурных подразделений администрации города Липецка составляет 2951 протокол, АППГ – 2915. </w:t>
      </w:r>
    </w:p>
    <w:p w:rsidR="00727712" w:rsidRPr="00727712" w:rsidRDefault="00727712" w:rsidP="00727712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727712" w:rsidRPr="00727712" w:rsidRDefault="00727712" w:rsidP="00727712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727712" w:rsidRPr="00727712" w:rsidRDefault="00727712" w:rsidP="00727712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712">
        <w:rPr>
          <w:rFonts w:ascii="Times New Roman" w:hAnsi="Times New Roman" w:cs="Times New Roman"/>
          <w:i/>
          <w:sz w:val="28"/>
          <w:szCs w:val="28"/>
        </w:rPr>
        <w:t xml:space="preserve">– сотрудники МУ «Управление главного смотрителя города Липецка» – составили 85 протоколов как члены административных комиссии (АППГ– 48). </w:t>
      </w:r>
    </w:p>
    <w:p w:rsidR="00727712" w:rsidRPr="00727712" w:rsidRDefault="00727712" w:rsidP="00727712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712">
        <w:rPr>
          <w:rFonts w:ascii="Times New Roman" w:hAnsi="Times New Roman" w:cs="Times New Roman"/>
          <w:i/>
          <w:sz w:val="28"/>
          <w:szCs w:val="28"/>
        </w:rPr>
        <w:t xml:space="preserve">– сотрудники МКУ «Городской центр рекламы» – составили 13  протоколов как члены административных комиссии (АППГ– 0). 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727712" w:rsidRPr="00727712" w:rsidRDefault="00727712" w:rsidP="00727712">
      <w:pPr>
        <w:pStyle w:val="ListParagraph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27712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727712">
        <w:t xml:space="preserve">» </w:t>
      </w:r>
      <w:r w:rsidRPr="00727712">
        <w:rPr>
          <w:szCs w:val="28"/>
        </w:rPr>
        <w:t xml:space="preserve">– 2451 материал или 54% (АППГ– </w:t>
      </w:r>
      <w:r w:rsidRPr="00727712">
        <w:rPr>
          <w:bCs/>
          <w:szCs w:val="28"/>
        </w:rPr>
        <w:t>2669</w:t>
      </w:r>
      <w:r w:rsidRPr="00727712">
        <w:rPr>
          <w:szCs w:val="28"/>
        </w:rPr>
        <w:t>), из них  по статьям 5.5 и 5.6 КоАП ЛО (размещение информации в  неустановленных местах...) – 670 дел (АППГ – 743).</w:t>
      </w:r>
    </w:p>
    <w:p w:rsidR="00727712" w:rsidRPr="00727712" w:rsidRDefault="00727712" w:rsidP="00727712">
      <w:pPr>
        <w:pStyle w:val="ListParagraph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gramStart"/>
      <w:r w:rsidRPr="00727712">
        <w:rPr>
          <w:rFonts w:eastAsia="Times New Roman"/>
          <w:szCs w:val="28"/>
        </w:rPr>
        <w:t>с</w:t>
      </w:r>
      <w:proofErr w:type="gramEnd"/>
      <w:r w:rsidRPr="00727712">
        <w:rPr>
          <w:rFonts w:eastAsia="Times New Roman"/>
          <w:szCs w:val="28"/>
        </w:rPr>
        <w:t>т. 6.2. «</w:t>
      </w:r>
      <w:r w:rsidRPr="00727712">
        <w:t>Осуществление деятельности по продаже товаров (выполнению работ, оказанию услуг) вне установленных мест</w:t>
      </w:r>
      <w:r w:rsidRPr="00727712">
        <w:rPr>
          <w:rFonts w:eastAsia="Times New Roman"/>
          <w:szCs w:val="28"/>
        </w:rPr>
        <w:t xml:space="preserve">» – 872 </w:t>
      </w:r>
      <w:r w:rsidRPr="00727712">
        <w:rPr>
          <w:szCs w:val="28"/>
        </w:rPr>
        <w:t>материала или 19% (АППГ – 529);</w:t>
      </w:r>
    </w:p>
    <w:p w:rsidR="00727712" w:rsidRPr="00727712" w:rsidRDefault="00727712" w:rsidP="00727712">
      <w:pPr>
        <w:pStyle w:val="ListParagraph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27712">
        <w:rPr>
          <w:szCs w:val="28"/>
        </w:rPr>
        <w:t>ст. 8.3. «</w:t>
      </w:r>
      <w:r w:rsidRPr="00727712">
        <w:rPr>
          <w:bCs/>
          <w:szCs w:val="28"/>
        </w:rPr>
        <w:t xml:space="preserve">Нарушение тишины и покоя граждан» </w:t>
      </w:r>
      <w:r w:rsidRPr="00727712">
        <w:rPr>
          <w:szCs w:val="28"/>
        </w:rPr>
        <w:t>– 350 материалов или 9% (АППГ – 411).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За 10 месяцев 2019 года сотрудниками структурных подразделений администрации </w:t>
      </w:r>
      <w:proofErr w:type="spellStart"/>
      <w:r w:rsidRPr="0072771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27712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727712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727712">
        <w:rPr>
          <w:rFonts w:ascii="Times New Roman" w:hAnsi="Times New Roman" w:cs="Times New Roman"/>
          <w:sz w:val="28"/>
          <w:szCs w:val="28"/>
        </w:rPr>
        <w:t xml:space="preserve"> выдано </w:t>
      </w:r>
      <w:r w:rsidRPr="00727712">
        <w:rPr>
          <w:rFonts w:ascii="Times New Roman" w:hAnsi="Times New Roman" w:cs="Times New Roman"/>
          <w:b/>
          <w:sz w:val="28"/>
          <w:szCs w:val="28"/>
        </w:rPr>
        <w:t>2889</w:t>
      </w:r>
      <w:r w:rsidRPr="00727712">
        <w:rPr>
          <w:rFonts w:ascii="Times New Roman" w:hAnsi="Times New Roman" w:cs="Times New Roman"/>
          <w:sz w:val="28"/>
          <w:szCs w:val="28"/>
        </w:rPr>
        <w:t xml:space="preserve"> предписаний, 3140 – за аналогичный период прошлого года.  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lastRenderedPageBreak/>
        <w:t>За 10 месяцев 2019 года в административные комиссии города поступил 31 материал за неисполнение предписаний об устранении нарушений Правил благоустройства.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2088 материалов КУСП поступило из территориальных органов внутренних дел, в 2018 году – 1649 материалов.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На основании поступивших материалов составлено – 442 протокола, АППГ – 475.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По 896  материалам вынесены определения об отказе в возбуждении дела об административном правонарушении из-за отсутствия состава административного правонарушения или по истечению срока давности привлечения к административной ответственности, АППГ– 827.</w:t>
      </w:r>
    </w:p>
    <w:p w:rsidR="00727712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 xml:space="preserve">396 материалов возвращено в территориальные органы внутренних дел для устранения недостатков –  недостаточно данных по нарушителям, нет объяснений свидетелей и самих нарушителей, АППГ – 269. </w:t>
      </w:r>
    </w:p>
    <w:p w:rsidR="006354D4" w:rsidRPr="00727712" w:rsidRDefault="00727712" w:rsidP="00727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2">
        <w:rPr>
          <w:rFonts w:ascii="Times New Roman" w:hAnsi="Times New Roman" w:cs="Times New Roman"/>
          <w:sz w:val="28"/>
          <w:szCs w:val="28"/>
        </w:rPr>
        <w:t>Специалистами административных комиссий проводилась  информационно-разъяснительная работа в ходе рейдовых мероприятий, при рассмотрении обращений граждан и в ходе проведения заседаний административных комиссий.</w:t>
      </w:r>
      <w:r w:rsidR="006354D4" w:rsidRPr="00727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B51" w:rsidRPr="00727712" w:rsidRDefault="00161B51" w:rsidP="006354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61B51" w:rsidRPr="00727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30E5D"/>
    <w:rsid w:val="0093711A"/>
    <w:rsid w:val="00940557"/>
    <w:rsid w:val="00940812"/>
    <w:rsid w:val="009457B9"/>
    <w:rsid w:val="00950C20"/>
    <w:rsid w:val="00954156"/>
    <w:rsid w:val="00977188"/>
    <w:rsid w:val="009A2086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96E9F"/>
    <w:rsid w:val="00FA4BC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9A9D4-723A-4A43-81D3-16AC8B6D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10</cp:revision>
  <cp:lastPrinted>2019-08-09T06:38:00Z</cp:lastPrinted>
  <dcterms:created xsi:type="dcterms:W3CDTF">2019-10-30T09:55:00Z</dcterms:created>
  <dcterms:modified xsi:type="dcterms:W3CDTF">2019-11-08T06:54:00Z</dcterms:modified>
</cp:coreProperties>
</file>